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67CE9">
      <w:pPr>
        <w:spacing w:line="588" w:lineRule="exact"/>
        <w:rPr>
          <w:rFonts w:hint="eastAsia" w:ascii="方正小标宋简体" w:hAnsi="仿宋" w:eastAsia="方正小标宋简体"/>
          <w:sz w:val="44"/>
          <w:szCs w:val="44"/>
        </w:rPr>
      </w:pPr>
    </w:p>
    <w:p w14:paraId="1592F98B"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2026年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拉西镇</w:t>
      </w:r>
      <w:r>
        <w:rPr>
          <w:rFonts w:hint="eastAsia" w:ascii="方正小标宋简体" w:hAnsi="仿宋" w:eastAsia="方正小标宋简体"/>
          <w:sz w:val="44"/>
          <w:szCs w:val="44"/>
        </w:rPr>
        <w:t>（单位）部门预算</w:t>
      </w:r>
    </w:p>
    <w:p w14:paraId="1DB131CE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6D6DCA0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D60E8BF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7F90C63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A7FAC87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F755251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812C55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407D252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42CB1B41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4274D12F">
      <w:pPr>
        <w:widowControl/>
        <w:spacing w:line="588" w:lineRule="exact"/>
        <w:ind w:firstLine="880" w:firstLineChars="200"/>
        <w:jc w:val="left"/>
        <w:rPr>
          <w:rFonts w:ascii="方正小标宋简体" w:hAnsi="仿宋" w:eastAsia="方正小标宋简体"/>
          <w:sz w:val="44"/>
          <w:szCs w:val="44"/>
        </w:rPr>
      </w:pPr>
      <w:r>
        <w:rPr>
          <w:rFonts w:ascii="方正小标宋简体" w:hAnsi="仿宋" w:eastAsia="方正小标宋简体"/>
          <w:sz w:val="44"/>
          <w:szCs w:val="44"/>
        </w:rPr>
        <w:br w:type="page"/>
      </w:r>
    </w:p>
    <w:p w14:paraId="310A2007">
      <w:pPr>
        <w:spacing w:line="588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目  录</w:t>
      </w:r>
    </w:p>
    <w:p w14:paraId="23EBEF73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C534645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第一部分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b/>
          <w:sz w:val="32"/>
          <w:szCs w:val="32"/>
        </w:rPr>
        <w:t>（单位）概况</w:t>
      </w:r>
    </w:p>
    <w:p w14:paraId="5418A7AD">
      <w:pPr>
        <w:pStyle w:val="9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主要职责</w:t>
      </w:r>
    </w:p>
    <w:p w14:paraId="3F3164E4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二、部门机构设置</w:t>
      </w:r>
    </w:p>
    <w:p w14:paraId="5EE18BA8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 w14:paraId="2B6C0BA3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第二部分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年部门预算表</w:t>
      </w:r>
    </w:p>
    <w:p w14:paraId="5813E0E4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第三部分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2026</w:t>
      </w:r>
      <w:r>
        <w:rPr>
          <w:rFonts w:ascii="方正小标宋简体" w:hAnsi="仿宋" w:eastAsia="方正小标宋简体"/>
          <w:b/>
          <w:sz w:val="32"/>
          <w:szCs w:val="32"/>
        </w:rPr>
        <w:t>年部门预算情况说明</w:t>
      </w:r>
    </w:p>
    <w:p w14:paraId="507E0FBB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一、部门预算收支增减变化情况</w:t>
      </w:r>
    </w:p>
    <w:p w14:paraId="2127BBC4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二、“三公”经费安排情况</w:t>
      </w:r>
    </w:p>
    <w:p w14:paraId="38D786B6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 w14:paraId="09B38ABE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四、政府采购情况</w:t>
      </w:r>
    </w:p>
    <w:p w14:paraId="3862CCA5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五、国有资产占有使用情况</w:t>
      </w:r>
    </w:p>
    <w:p w14:paraId="36FD0FF8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</w:t>
      </w:r>
      <w:r>
        <w:rPr>
          <w:rFonts w:ascii="黑体" w:hAnsi="黑体" w:eastAsia="黑体"/>
          <w:sz w:val="32"/>
          <w:szCs w:val="32"/>
        </w:rPr>
        <w:t>项目绩效目标情况</w:t>
      </w:r>
    </w:p>
    <w:p w14:paraId="15E0488F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其他需要说明的</w:t>
      </w:r>
      <w:r>
        <w:rPr>
          <w:rFonts w:ascii="黑体" w:hAnsi="黑体" w:eastAsia="黑体"/>
          <w:sz w:val="32"/>
          <w:szCs w:val="32"/>
        </w:rPr>
        <w:t>情况</w:t>
      </w:r>
    </w:p>
    <w:p w14:paraId="602D0B92">
      <w:pPr>
        <w:spacing w:line="588" w:lineRule="exact"/>
        <w:ind w:firstLine="643" w:firstLineChars="200"/>
        <w:jc w:val="left"/>
        <w:rPr>
          <w:rFonts w:ascii="方正小标宋简体" w:hAnsi="仿宋" w:eastAsia="方正小标宋简体"/>
          <w:b/>
          <w:sz w:val="32"/>
          <w:szCs w:val="32"/>
        </w:rPr>
      </w:pPr>
      <w:r>
        <w:rPr>
          <w:rFonts w:hint="eastAsia" w:ascii="方正小标宋简体" w:hAnsi="仿宋" w:eastAsia="方正小标宋简体"/>
          <w:b/>
          <w:sz w:val="32"/>
          <w:szCs w:val="32"/>
        </w:rPr>
        <w:t>第四部分</w:t>
      </w:r>
      <w:r>
        <w:rPr>
          <w:rFonts w:ascii="方正小标宋简体" w:hAnsi="仿宋" w:eastAsia="方正小标宋简体"/>
          <w:b/>
          <w:sz w:val="32"/>
          <w:szCs w:val="32"/>
        </w:rPr>
        <w:t xml:space="preserve"> </w:t>
      </w:r>
      <w:r>
        <w:rPr>
          <w:rFonts w:hint="eastAsia" w:ascii="方正小标宋简体" w:hAnsi="仿宋" w:eastAsia="方正小标宋简体"/>
          <w:b/>
          <w:sz w:val="32"/>
          <w:szCs w:val="32"/>
        </w:rPr>
        <w:t>名词解释</w:t>
      </w:r>
    </w:p>
    <w:p w14:paraId="0C5C6CB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87928CE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519F549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D27CC57">
      <w:pPr>
        <w:widowControl/>
        <w:spacing w:line="588" w:lineRule="exact"/>
        <w:ind w:firstLine="640" w:firstLineChars="200"/>
        <w:jc w:val="left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br w:type="page"/>
      </w:r>
    </w:p>
    <w:p w14:paraId="29D5E1C8">
      <w:pPr>
        <w:spacing w:line="588" w:lineRule="exact"/>
        <w:jc w:val="center"/>
        <w:rPr>
          <w:rFonts w:ascii="仿宋" w:hAnsi="仿宋" w:eastAsia="仿宋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第一部分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sz w:val="40"/>
          <w:szCs w:val="32"/>
        </w:rPr>
        <w:t>农牧综合服务中心（单位）概况</w:t>
      </w:r>
    </w:p>
    <w:p w14:paraId="1F285A85">
      <w:pPr>
        <w:adjustRightInd w:val="0"/>
        <w:spacing w:line="576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一、主要职责</w:t>
      </w:r>
    </w:p>
    <w:p w14:paraId="6F46EC6A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第一条  根据党中央、自治区党委和市委关于深化地方党政机构改革的工作要求，按照《关于那曲市机构改革的实施意见》和《巴青县机构改革方案》，制定本规定。    </w:t>
      </w:r>
    </w:p>
    <w:p w14:paraId="0107D93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第二条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农牧综合服务中心是协助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/>
          <w:sz w:val="32"/>
          <w:szCs w:val="32"/>
        </w:rPr>
        <w:t>政府领导同志处理农牧综合服务中心日常工作的机构。</w:t>
      </w:r>
    </w:p>
    <w:p w14:paraId="351CC22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农牧综合服务中心贯彻落实党中央、国务院方针政策和自治区党委、政府以及市委、市政府和县委、巴青县人民政府决策部署，在履行职责过程中坚持和加强县委、县政府对巴青县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农牧综合服务中心工作的统一领导。主要职责是：</w:t>
      </w:r>
    </w:p>
    <w:p w14:paraId="74D3A52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（一）负责处理巴青县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农牧综合服务中心日常政务和事务。协助巴青县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人民政府领导同志组织实施会议决定事项。</w:t>
      </w:r>
    </w:p>
    <w:p w14:paraId="768E9F0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（二）负责巴青县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农牧综合服务中心各项日常工作，指导各村（居）及巴青县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人民政府各部门值班工作，及时报告重要情况，传达和督促落实县人民政府及巴青县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人民政府领导批示。</w:t>
      </w:r>
    </w:p>
    <w:p w14:paraId="29D4C96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（三）负责推进指导、协调监督全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/>
          <w:sz w:val="32"/>
          <w:szCs w:val="32"/>
        </w:rPr>
        <w:t>党政信息公开和机关效能建设工作。负责信息公开和党务政务公开工作，编辑政府公报。</w:t>
      </w:r>
    </w:p>
    <w:p w14:paraId="23AE6A7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（四）牵头推进法治政府建设、依法行政和“放管服”工作。</w:t>
      </w:r>
    </w:p>
    <w:p w14:paraId="49EA1B8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（五）负责上级工作组、来宾的接待服务保障工作。</w:t>
      </w:r>
    </w:p>
    <w:p w14:paraId="0DCE4E54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（六）负责巴青县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农牧综合服务中心公务用车，巴青县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农牧综合服务中心事务管理、等工作。</w:t>
      </w:r>
    </w:p>
    <w:p w14:paraId="7713E59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（七）负责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镇农牧</w:t>
      </w:r>
      <w:r>
        <w:rPr>
          <w:rFonts w:hint="eastAsia" w:ascii="仿宋" w:hAnsi="仿宋" w:eastAsia="仿宋"/>
          <w:sz w:val="32"/>
          <w:szCs w:val="32"/>
        </w:rPr>
        <w:t>外事工作，牵头负责相关协调和服务工作。</w:t>
      </w:r>
    </w:p>
    <w:p w14:paraId="363A695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（八）完成县委、县人民政府和乡人民政府领导同志交办的其他任务。</w:t>
      </w:r>
    </w:p>
    <w:p w14:paraId="0FC4BEC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第四条  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人民政府所属事业单位的设置、职责和编制另行规定。</w:t>
      </w:r>
    </w:p>
    <w:p w14:paraId="2A5040A6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二、部门（单位）机构设置</w:t>
      </w:r>
      <w:r>
        <w:rPr>
          <w:rFonts w:ascii="黑体" w:hAnsi="黑体" w:eastAsia="黑体"/>
          <w:sz w:val="32"/>
          <w:szCs w:val="32"/>
        </w:rPr>
        <w:t>情况</w:t>
      </w:r>
    </w:p>
    <w:p w14:paraId="341E3FA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巴青县</w:t>
      </w:r>
      <w:r>
        <w:rPr>
          <w:rFonts w:hint="eastAsia" w:ascii="仿宋" w:hAnsi="仿宋" w:eastAsia="仿宋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/>
          <w:sz w:val="32"/>
          <w:szCs w:val="32"/>
        </w:rPr>
        <w:t>农牧编制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18</w:t>
      </w:r>
      <w:r>
        <w:rPr>
          <w:rFonts w:hint="eastAsia" w:ascii="仿宋" w:hAnsi="仿宋" w:eastAsia="仿宋"/>
          <w:sz w:val="32"/>
          <w:szCs w:val="32"/>
        </w:rPr>
        <w:t>名。部门领导职数</w:t>
      </w:r>
      <w:r>
        <w:rPr>
          <w:rFonts w:hint="eastAsia" w:ascii="仿宋" w:hAnsi="仿宋" w:eastAsia="仿宋"/>
          <w:sz w:val="32"/>
          <w:szCs w:val="32"/>
          <w:u w:val="single"/>
        </w:rPr>
        <w:t>1</w:t>
      </w:r>
      <w:r>
        <w:rPr>
          <w:rFonts w:hint="eastAsia" w:ascii="仿宋" w:hAnsi="仿宋" w:eastAsia="仿宋"/>
          <w:sz w:val="32"/>
          <w:szCs w:val="32"/>
        </w:rPr>
        <w:t>名（正科级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hint="eastAsia" w:ascii="仿宋" w:hAnsi="仿宋" w:eastAsia="仿宋"/>
          <w:sz w:val="32"/>
          <w:szCs w:val="32"/>
        </w:rPr>
        <w:t>名、副科级</w:t>
      </w:r>
      <w:r>
        <w:rPr>
          <w:rFonts w:hint="eastAsia" w:ascii="仿宋" w:hAnsi="仿宋" w:eastAsia="仿宋"/>
          <w:sz w:val="32"/>
          <w:szCs w:val="32"/>
          <w:u w:val="single"/>
        </w:rPr>
        <w:t>1</w:t>
      </w:r>
      <w:r>
        <w:rPr>
          <w:rFonts w:hint="eastAsia" w:ascii="仿宋" w:hAnsi="仿宋" w:eastAsia="仿宋"/>
          <w:sz w:val="32"/>
          <w:szCs w:val="32"/>
        </w:rPr>
        <w:t>名）。</w:t>
      </w:r>
    </w:p>
    <w:p w14:paraId="3129C20E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ascii="方正小标宋简体" w:hAnsi="仿宋" w:eastAsia="方正小标宋简体"/>
          <w:sz w:val="32"/>
          <w:szCs w:val="32"/>
        </w:rPr>
        <w:t>三</w:t>
      </w:r>
      <w:r>
        <w:rPr>
          <w:rFonts w:hint="eastAsia" w:ascii="方正小标宋简体" w:hAnsi="仿宋" w:eastAsia="方正小标宋简体"/>
          <w:sz w:val="32"/>
          <w:szCs w:val="32"/>
        </w:rPr>
        <w:t>、</w:t>
      </w:r>
      <w:r>
        <w:rPr>
          <w:rFonts w:ascii="方正小标宋简体" w:hAnsi="仿宋" w:eastAsia="方正小标宋简体"/>
          <w:sz w:val="32"/>
          <w:szCs w:val="32"/>
        </w:rPr>
        <w:t>部门预算构成</w:t>
      </w:r>
    </w:p>
    <w:p w14:paraId="7C30D39B">
      <w:pPr>
        <w:spacing w:line="588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本单位无下属单位，部门预算为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拉西镇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农牧综合服务中心预算。</w:t>
      </w:r>
    </w:p>
    <w:p w14:paraId="3B8A4CB8">
      <w:pPr>
        <w:spacing w:line="588" w:lineRule="exact"/>
        <w:jc w:val="center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648D1639">
      <w:pPr>
        <w:spacing w:line="588" w:lineRule="exact"/>
        <w:jc w:val="center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6199FC2B">
      <w:pPr>
        <w:spacing w:line="588" w:lineRule="exact"/>
        <w:jc w:val="center"/>
        <w:rPr>
          <w:rFonts w:ascii="仿宋" w:hAnsi="仿宋" w:eastAsia="仿宋" w:cs="仿宋"/>
          <w:color w:val="000000" w:themeColor="text1"/>
          <w:sz w:val="32"/>
          <w:szCs w:val="32"/>
        </w:rPr>
      </w:pPr>
    </w:p>
    <w:p w14:paraId="2E576AB2">
      <w:pPr>
        <w:spacing w:line="588" w:lineRule="exact"/>
        <w:jc w:val="center"/>
        <w:rPr>
          <w:rFonts w:ascii="仿宋" w:hAnsi="仿宋" w:eastAsia="仿宋" w:cs="仿宋"/>
          <w:color w:val="000000" w:themeColor="text1"/>
          <w:sz w:val="32"/>
          <w:szCs w:val="32"/>
        </w:rPr>
      </w:pPr>
      <w:bookmarkStart w:id="0" w:name="_GoBack"/>
      <w:bookmarkEnd w:id="0"/>
    </w:p>
    <w:p w14:paraId="6CCB6421">
      <w:pPr>
        <w:spacing w:line="588" w:lineRule="exact"/>
        <w:jc w:val="center"/>
        <w:rPr>
          <w:rFonts w:ascii="方正小标宋简体" w:hAnsi="仿宋" w:eastAsia="方正小标宋简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第二部分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sz w:val="40"/>
          <w:szCs w:val="32"/>
        </w:rPr>
        <w:t>农牧综合服务中心部门预算表</w:t>
      </w:r>
    </w:p>
    <w:p w14:paraId="2BD8062E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</w:p>
    <w:p w14:paraId="62A68777">
      <w:pPr>
        <w:spacing w:line="588" w:lineRule="exact"/>
        <w:ind w:firstLine="640" w:firstLineChars="200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表格详见附件。</w:t>
      </w:r>
    </w:p>
    <w:p w14:paraId="10BB6E52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8AA93A4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CEC552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79DE6B7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44EC270A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1143064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04055DC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4580440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005286D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77F84172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77432A35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784E8EDA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CFE02C7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3C5974C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2136DAA8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743EAB72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5211AB30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283676F2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391F7BFF">
      <w:pPr>
        <w:spacing w:line="588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 w14:paraId="268E3F5C">
      <w:pPr>
        <w:spacing w:line="588" w:lineRule="exact"/>
        <w:jc w:val="center"/>
        <w:rPr>
          <w:rFonts w:ascii="黑体" w:hAnsi="黑体" w:eastAsia="黑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第三部分</w:t>
      </w:r>
      <w:r>
        <w:rPr>
          <w:rFonts w:ascii="方正小标宋简体" w:hAnsi="仿宋" w:eastAsia="方正小标宋简体"/>
          <w:sz w:val="40"/>
          <w:szCs w:val="32"/>
        </w:rPr>
        <w:t xml:space="preserve"> </w:t>
      </w:r>
      <w:r>
        <w:rPr>
          <w:rFonts w:hint="eastAsia" w:ascii="方正小标宋简体" w:hAnsi="仿宋" w:eastAsia="方正小标宋简体"/>
          <w:sz w:val="40"/>
          <w:szCs w:val="32"/>
        </w:rPr>
        <w:t>2026年</w:t>
      </w:r>
      <w:r>
        <w:rPr>
          <w:rFonts w:hint="eastAsia" w:ascii="方正小标宋简体" w:hAnsi="仿宋" w:eastAsia="方正小标宋简体"/>
          <w:sz w:val="40"/>
          <w:szCs w:val="32"/>
          <w:lang w:eastAsia="zh-CN"/>
        </w:rPr>
        <w:t>拉西镇</w:t>
      </w:r>
      <w:r>
        <w:rPr>
          <w:rFonts w:hint="eastAsia" w:ascii="方正小标宋简体" w:hAnsi="仿宋" w:eastAsia="方正小标宋简体"/>
          <w:sz w:val="40"/>
          <w:szCs w:val="32"/>
        </w:rPr>
        <w:t>农牧综合服务中心部门预算情况说明</w:t>
      </w:r>
    </w:p>
    <w:p w14:paraId="7CDCC79B">
      <w:pPr>
        <w:pStyle w:val="9"/>
        <w:numPr>
          <w:ilvl w:val="0"/>
          <w:numId w:val="1"/>
        </w:numPr>
        <w:spacing w:line="588" w:lineRule="exact"/>
        <w:ind w:firstLineChars="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部门预算收支增减变化情况</w:t>
      </w:r>
    </w:p>
    <w:p w14:paraId="3433A8EA">
      <w:pPr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例如：2026年本部门收入预算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695.61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万元，比上年增加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695.61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万元，增长100%，主要原因是：往年未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单独预算</w:t>
      </w:r>
      <w:r>
        <w:rPr>
          <w:rFonts w:hint="default" w:ascii="Times New Roman" w:hAnsi="Times New Roman" w:eastAsia="仿宋" w:cs="Times New Roman"/>
          <w:sz w:val="32"/>
          <w:szCs w:val="32"/>
        </w:rPr>
        <w:t>；支出预算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695.61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万元，比上年增加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695.61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万元，增长100%，主要原因是：往年未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单独预算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112B47B8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、“</w:t>
      </w:r>
      <w:r>
        <w:rPr>
          <w:rFonts w:ascii="黑体" w:hAnsi="黑体" w:eastAsia="黑体"/>
          <w:sz w:val="32"/>
          <w:szCs w:val="32"/>
        </w:rPr>
        <w:t>三公</w:t>
      </w:r>
      <w:r>
        <w:rPr>
          <w:rFonts w:hint="eastAsia" w:ascii="黑体" w:hAnsi="黑体" w:eastAsia="黑体"/>
          <w:sz w:val="32"/>
          <w:szCs w:val="32"/>
        </w:rPr>
        <w:t>”</w:t>
      </w:r>
      <w:r>
        <w:rPr>
          <w:rFonts w:ascii="黑体" w:hAnsi="黑体" w:eastAsia="黑体"/>
          <w:sz w:val="32"/>
          <w:szCs w:val="32"/>
        </w:rPr>
        <w:t>经费安排情况</w:t>
      </w:r>
    </w:p>
    <w:p w14:paraId="08FE8262"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2026年本部门财政拨款安排“三公”经费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万元，比上年减少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万元，下降50%，主要原因是：卫生院皮卡车的预算由原来的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</w:rPr>
        <w:t>万元下降至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万元。2025年因公出国（境）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个团组、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人，公务用车购置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辆、保有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量，国内公务接待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批次、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人</w:t>
      </w:r>
    </w:p>
    <w:p w14:paraId="11342DA7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 w14:paraId="39EB8E16">
      <w:pPr>
        <w:spacing w:line="58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2026年，本部门机关运行经费安排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68.35</w:t>
      </w:r>
      <w:r>
        <w:rPr>
          <w:rFonts w:hint="default" w:ascii="Times New Roman" w:hAnsi="Times New Roman" w:eastAsia="仿宋" w:cs="Times New Roman"/>
          <w:sz w:val="32"/>
          <w:szCs w:val="32"/>
        </w:rPr>
        <w:t>万元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比上年</w:t>
      </w:r>
      <w:r>
        <w:rPr>
          <w:rFonts w:hint="eastAsia" w:eastAsia="仿宋" w:cs="Times New Roman"/>
          <w:sz w:val="32"/>
          <w:szCs w:val="32"/>
          <w:lang w:eastAsia="zh-CN"/>
        </w:rPr>
        <w:t>增长</w:t>
      </w:r>
      <w:r>
        <w:rPr>
          <w:rFonts w:hint="eastAsia" w:eastAsia="仿宋" w:cs="Times New Roman"/>
          <w:sz w:val="32"/>
          <w:szCs w:val="32"/>
          <w:lang w:val="en-US" w:eastAsia="zh-CN"/>
        </w:rPr>
        <w:t>68.35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万元，增长</w:t>
      </w:r>
      <w:r>
        <w:rPr>
          <w:rFonts w:hint="eastAsia" w:eastAsia="仿宋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" w:cs="Times New Roman"/>
          <w:sz w:val="32"/>
          <w:szCs w:val="32"/>
        </w:rPr>
        <w:t>%，主要原因是：</w:t>
      </w:r>
      <w:r>
        <w:rPr>
          <w:rFonts w:hint="eastAsia" w:eastAsia="仿宋" w:cs="Times New Roman"/>
          <w:color w:val="000000" w:themeColor="text1"/>
          <w:sz w:val="32"/>
          <w:szCs w:val="32"/>
          <w:lang w:eastAsia="zh-CN"/>
        </w:rPr>
        <w:t>往年未单独预算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0469A5B4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ascii="黑体" w:hAnsi="黑体" w:eastAsia="黑体"/>
          <w:sz w:val="32"/>
          <w:szCs w:val="32"/>
        </w:rPr>
        <w:t>国有资产占有使用情况</w:t>
      </w:r>
    </w:p>
    <w:p w14:paraId="3A44D147">
      <w:pPr>
        <w:spacing w:line="58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截至2026年1月20日，本部门固定资产构成情况为：车辆1辆，单价在50万元以上通用设备0台（套），单价在100万元以上专用设备0台（套）。</w:t>
      </w:r>
    </w:p>
    <w:p w14:paraId="1DD0E00B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、项目绩效目标情况</w:t>
      </w:r>
    </w:p>
    <w:p w14:paraId="27D66F1C">
      <w:pPr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026年，实行绩效目标管理项目</w:t>
      </w:r>
      <w:r>
        <w:rPr>
          <w:rFonts w:hint="eastAsia" w:eastAsia="仿宋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个，资金</w:t>
      </w:r>
      <w:r>
        <w:rPr>
          <w:rFonts w:hint="eastAsia" w:eastAsia="仿宋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万元，实现项目支出绩效目标管理全覆盖。其中本部门重点项目绩效目标情况如下</w:t>
      </w:r>
      <w:r>
        <w:rPr>
          <w:rFonts w:hint="eastAsia" w:ascii="仿宋" w:hAnsi="仿宋" w:eastAsia="仿宋"/>
          <w:sz w:val="32"/>
          <w:szCs w:val="32"/>
          <w:highlight w:val="yellow"/>
        </w:rPr>
        <w:t>（涉密项目除外）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1745"/>
        <w:gridCol w:w="2841"/>
      </w:tblGrid>
      <w:tr w14:paraId="75FF4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36" w:type="dxa"/>
            <w:vAlign w:val="center"/>
          </w:tcPr>
          <w:p w14:paraId="5467D6B7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重点项目</w:t>
            </w:r>
          </w:p>
        </w:tc>
        <w:tc>
          <w:tcPr>
            <w:tcW w:w="1745" w:type="dxa"/>
            <w:vAlign w:val="center"/>
          </w:tcPr>
          <w:p w14:paraId="2BA40C78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预算数（单位：万元）</w:t>
            </w:r>
          </w:p>
        </w:tc>
        <w:tc>
          <w:tcPr>
            <w:tcW w:w="2841" w:type="dxa"/>
            <w:vAlign w:val="center"/>
          </w:tcPr>
          <w:p w14:paraId="3A663B03">
            <w:pPr>
              <w:spacing w:line="588" w:lineRule="exact"/>
              <w:ind w:firstLine="560" w:firstLineChars="200"/>
              <w:jc w:val="center"/>
              <w:rPr>
                <w:rFonts w:ascii="黑体" w:hAnsi="黑体" w:eastAsia="黑体"/>
                <w:sz w:val="28"/>
                <w:szCs w:val="32"/>
              </w:rPr>
            </w:pPr>
            <w:r>
              <w:rPr>
                <w:rFonts w:hint="eastAsia" w:ascii="黑体" w:hAnsi="黑体" w:eastAsia="黑体"/>
                <w:sz w:val="28"/>
                <w:szCs w:val="32"/>
              </w:rPr>
              <w:t>绩效目标</w:t>
            </w:r>
          </w:p>
        </w:tc>
      </w:tr>
      <w:tr w14:paraId="60A5D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 w14:paraId="5B84D114">
            <w:pPr>
              <w:spacing w:line="588" w:lineRule="exact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</w:p>
        </w:tc>
        <w:tc>
          <w:tcPr>
            <w:tcW w:w="1745" w:type="dxa"/>
          </w:tcPr>
          <w:p w14:paraId="01D9826E">
            <w:pPr>
              <w:spacing w:line="588" w:lineRule="exact"/>
              <w:ind w:firstLine="560" w:firstLineChars="200"/>
              <w:jc w:val="center"/>
              <w:rPr>
                <w:rFonts w:hint="default" w:ascii="Times New Roman" w:hAnsi="Times New Roman" w:eastAsia="仿宋" w:cs="Times New Roman"/>
                <w:sz w:val="28"/>
                <w:szCs w:val="32"/>
              </w:rPr>
            </w:pPr>
          </w:p>
        </w:tc>
        <w:tc>
          <w:tcPr>
            <w:tcW w:w="2841" w:type="dxa"/>
          </w:tcPr>
          <w:p w14:paraId="52BF5BF0">
            <w:pPr>
              <w:spacing w:line="588" w:lineRule="exact"/>
              <w:ind w:firstLine="640" w:firstLineChars="200"/>
              <w:rPr>
                <w:rFonts w:hint="default" w:ascii="Times New Roman" w:hAnsi="Times New Roman" w:eastAsia="仿宋" w:cs="Times New Roman"/>
                <w:color w:val="000000" w:themeColor="text1"/>
                <w:sz w:val="32"/>
                <w:szCs w:val="32"/>
              </w:rPr>
            </w:pPr>
          </w:p>
        </w:tc>
      </w:tr>
    </w:tbl>
    <w:p w14:paraId="04B872EF">
      <w:pPr>
        <w:spacing w:line="58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七、其他需要说明的情况</w:t>
      </w:r>
    </w:p>
    <w:p w14:paraId="4862E3B1">
      <w:pPr>
        <w:widowControl/>
        <w:spacing w:line="588" w:lineRule="exact"/>
        <w:ind w:firstLine="1440" w:firstLineChars="4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</w:p>
    <w:p w14:paraId="70F638C1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ialog . pl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438C1">
    <w:pPr>
      <w:pStyle w:val="3"/>
      <w:framePr w:wrap="around" w:vAnchor="text" w:hAnchor="margin" w:xAlign="center" w:y="1"/>
      <w:rPr>
        <w:rStyle w:val="8"/>
        <w:rFonts w:ascii="宋体" w:hAnsi="宋体" w:eastAsia="宋体"/>
        <w:sz w:val="24"/>
        <w:szCs w:val="24"/>
      </w:rPr>
    </w:pPr>
    <w:r>
      <w:rPr>
        <w:rStyle w:val="8"/>
        <w:rFonts w:ascii="宋体" w:hAnsi="宋体" w:eastAsia="宋体"/>
        <w:sz w:val="24"/>
        <w:szCs w:val="24"/>
      </w:rPr>
      <w:fldChar w:fldCharType="begin"/>
    </w:r>
    <w:r>
      <w:rPr>
        <w:rStyle w:val="8"/>
        <w:rFonts w:ascii="宋体" w:hAnsi="宋体" w:eastAsia="宋体"/>
        <w:sz w:val="24"/>
        <w:szCs w:val="24"/>
      </w:rPr>
      <w:instrText xml:space="preserve">PAGE  </w:instrText>
    </w:r>
    <w:r>
      <w:rPr>
        <w:rStyle w:val="8"/>
        <w:rFonts w:ascii="宋体" w:hAnsi="宋体" w:eastAsia="宋体"/>
        <w:sz w:val="24"/>
        <w:szCs w:val="24"/>
      </w:rPr>
      <w:fldChar w:fldCharType="separate"/>
    </w:r>
    <w:r>
      <w:rPr>
        <w:rStyle w:val="8"/>
        <w:rFonts w:ascii="宋体" w:hAnsi="宋体" w:eastAsia="宋体"/>
        <w:sz w:val="24"/>
        <w:szCs w:val="24"/>
      </w:rPr>
      <w:t>- 8 -</w:t>
    </w:r>
    <w:r>
      <w:rPr>
        <w:rStyle w:val="8"/>
        <w:rFonts w:ascii="宋体" w:hAnsi="宋体" w:eastAsia="宋体"/>
        <w:sz w:val="24"/>
        <w:szCs w:val="24"/>
      </w:rPr>
      <w:fldChar w:fldCharType="end"/>
    </w:r>
  </w:p>
  <w:p w14:paraId="49E9616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37027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304C85ED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3E07C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36971"/>
    <w:multiLevelType w:val="multilevel"/>
    <w:tmpl w:val="7BA36971"/>
    <w:lvl w:ilvl="0" w:tentative="0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B6012"/>
    <w:rsid w:val="00134E3F"/>
    <w:rsid w:val="0020290F"/>
    <w:rsid w:val="00273ED8"/>
    <w:rsid w:val="004A3BA0"/>
    <w:rsid w:val="005071F6"/>
    <w:rsid w:val="005D6914"/>
    <w:rsid w:val="007B6C84"/>
    <w:rsid w:val="007E386F"/>
    <w:rsid w:val="009224A9"/>
    <w:rsid w:val="009415CE"/>
    <w:rsid w:val="00947298"/>
    <w:rsid w:val="00991DA8"/>
    <w:rsid w:val="00BB6012"/>
    <w:rsid w:val="00C0797A"/>
    <w:rsid w:val="00CF7C57"/>
    <w:rsid w:val="00D94C03"/>
    <w:rsid w:val="00E3226B"/>
    <w:rsid w:val="00F91B3C"/>
    <w:rsid w:val="03615FD0"/>
    <w:rsid w:val="160C45D9"/>
    <w:rsid w:val="16B447CE"/>
    <w:rsid w:val="202A46ED"/>
    <w:rsid w:val="388C5587"/>
    <w:rsid w:val="42614071"/>
    <w:rsid w:val="779934C6"/>
    <w:rsid w:val="787758E4"/>
    <w:rsid w:val="79A47E46"/>
    <w:rsid w:val="7F0B05E5"/>
    <w:rsid w:val="7FD21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kern w:val="44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paragraph" w:customStyle="1" w:styleId="9">
    <w:name w:val="List Paragraph"/>
    <w:basedOn w:val="1"/>
    <w:unhideWhenUsed/>
    <w:uiPriority w:val="99"/>
    <w:pPr>
      <w:ind w:firstLine="420" w:firstLineChars="200"/>
    </w:pPr>
  </w:style>
  <w:style w:type="character" w:customStyle="1" w:styleId="10">
    <w:name w:val="font21"/>
    <w:basedOn w:val="7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11"/>
    <w:basedOn w:val="7"/>
    <w:uiPriority w:val="0"/>
    <w:rPr>
      <w:rFonts w:hint="default" w:ascii="Dialog . plain" w:hAnsi="Dialog . plain" w:eastAsia="Dialog . plain" w:cs="Dialog . plai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300</Words>
  <Characters>1716</Characters>
  <Lines>14</Lines>
  <Paragraphs>4</Paragraphs>
  <TotalTime>10</TotalTime>
  <ScaleCrop>false</ScaleCrop>
  <LinksUpToDate>false</LinksUpToDate>
  <CharactersWithSpaces>2012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2024-04-26T04:57:00Z</dcterms:created>
  <dc:creator>bq</dc:creator>
  <cp:lastModifiedBy>Administrator</cp:lastModifiedBy>
  <dcterms:modified xsi:type="dcterms:W3CDTF">2026-01-28T09:55:51Z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49BAD40DE56D407B89457DCFB84CD5A4</vt:lpwstr>
  </property>
</Properties>
</file>